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9CE" w:rsidRPr="00F669E4" w:rsidRDefault="00DE0011" w:rsidP="0053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1. тачка 3. Закона о запошљавању и осигурању за случај незапослености</w:t>
      </w:r>
      <w:r w:rsidR="006C0DA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(„Сл. гласник РС“, бр. 36/09,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), члана 11. став 1. тачка 3. Закона о професионалној рехабилитацији и запошљавању особа са инвалидитетом („Сл. гласник РС“, бр. 36/09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32/13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15326">
        <w:rPr>
          <w:rFonts w:ascii="Times New Roman" w:hAnsi="Times New Roman"/>
          <w:sz w:val="24"/>
          <w:szCs w:val="24"/>
          <w:lang w:val="ru-RU"/>
        </w:rPr>
        <w:t>и на основу О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длуке Председника општине Житиште о усвајању </w:t>
      </w:r>
      <w:r w:rsidR="00D15326">
        <w:rPr>
          <w:rFonts w:ascii="Times New Roman" w:hAnsi="Times New Roman"/>
          <w:sz w:val="24"/>
          <w:szCs w:val="24"/>
          <w:lang w:val="ru-RU"/>
        </w:rPr>
        <w:t xml:space="preserve">Измене и допуне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Л</w:t>
      </w:r>
      <w:r w:rsidR="00D15326">
        <w:rPr>
          <w:rFonts w:ascii="Times New Roman" w:hAnsi="Times New Roman"/>
          <w:sz w:val="24"/>
          <w:szCs w:val="24"/>
          <w:lang w:val="ru-RU"/>
        </w:rPr>
        <w:t>окалног плана запошљавања за 2020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годину број </w:t>
      </w:r>
      <w:r w:rsidR="00D00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5326">
        <w:rPr>
          <w:rFonts w:ascii="Times New Roman" w:hAnsi="Times New Roman"/>
          <w:sz w:val="24"/>
          <w:szCs w:val="24"/>
          <w:lang w:val="sr-Latn-RS"/>
        </w:rPr>
        <w:t>II-101-</w:t>
      </w:r>
      <w:r w:rsidR="00D15326">
        <w:rPr>
          <w:rFonts w:ascii="Times New Roman" w:hAnsi="Times New Roman"/>
          <w:sz w:val="24"/>
          <w:szCs w:val="24"/>
          <w:lang w:val="sr-Cyrl-RS"/>
        </w:rPr>
        <w:t>1</w:t>
      </w:r>
      <w:r w:rsidR="00D15326">
        <w:rPr>
          <w:rFonts w:ascii="Times New Roman" w:hAnsi="Times New Roman"/>
          <w:sz w:val="24"/>
          <w:szCs w:val="24"/>
          <w:lang w:val="sr-Latn-RS"/>
        </w:rPr>
        <w:t>/20</w:t>
      </w:r>
      <w:r w:rsidR="00D15326">
        <w:rPr>
          <w:rFonts w:ascii="Times New Roman" w:hAnsi="Times New Roman"/>
          <w:sz w:val="24"/>
          <w:szCs w:val="24"/>
          <w:lang w:val="sr-Cyrl-RS"/>
        </w:rPr>
        <w:t>20-9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="00D15326">
        <w:rPr>
          <w:rFonts w:ascii="Times New Roman" w:hAnsi="Times New Roman"/>
          <w:sz w:val="24"/>
          <w:szCs w:val="24"/>
          <w:lang w:val="sr-Cyrl-RS"/>
        </w:rPr>
        <w:t>03</w:t>
      </w:r>
      <w:r w:rsidR="00D15326">
        <w:rPr>
          <w:rFonts w:ascii="Times New Roman" w:hAnsi="Times New Roman"/>
          <w:sz w:val="24"/>
          <w:szCs w:val="24"/>
          <w:lang w:val="sr-Latn-RS"/>
        </w:rPr>
        <w:t>.0</w:t>
      </w:r>
      <w:r w:rsidR="00D15326">
        <w:rPr>
          <w:rFonts w:ascii="Times New Roman" w:hAnsi="Times New Roman"/>
          <w:sz w:val="24"/>
          <w:szCs w:val="24"/>
          <w:lang w:val="sr-Cyrl-RS"/>
        </w:rPr>
        <w:t>3</w:t>
      </w:r>
      <w:r w:rsidR="00D15326">
        <w:rPr>
          <w:rFonts w:ascii="Times New Roman" w:hAnsi="Times New Roman"/>
          <w:sz w:val="24"/>
          <w:szCs w:val="24"/>
          <w:lang w:val="sr-Latn-RS"/>
        </w:rPr>
        <w:t>.20</w:t>
      </w:r>
      <w:r w:rsidR="00D15326">
        <w:rPr>
          <w:rFonts w:ascii="Times New Roman" w:hAnsi="Times New Roman"/>
          <w:sz w:val="24"/>
          <w:szCs w:val="24"/>
          <w:lang w:val="sr-Cyrl-RS"/>
        </w:rPr>
        <w:t>20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.године</w:t>
      </w: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D6C" w:rsidRPr="00F669E4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69E4">
        <w:rPr>
          <w:rFonts w:ascii="Times New Roman" w:hAnsi="Times New Roman" w:cs="Times New Roman"/>
          <w:b/>
          <w:bCs/>
          <w:sz w:val="32"/>
          <w:szCs w:val="32"/>
          <w:lang w:val="ru-RU"/>
        </w:rPr>
        <w:t>ОПШТИНА ЖИТИШТЕ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Расписује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ЈАВНИ ПОЗИВ ПОСЛОДАВЦИМА ЗА ДОДЕЛУ СУБВЕНЦИЈЕ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 ОТ</w:t>
      </w:r>
      <w:r w:rsidR="00D153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ВАРАЊЕ НОВИХ РАДНИХ МЕСТА У 2020</w:t>
      </w: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ГОДИНИ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ОСНОВНЕ ИНФОРМАЦИЈЕ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Субвенција за отварање нових радних места одобрава се послодавцима ради запошљавања незапослених лица која се воде на евиденцији Националне службе за запошљавање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 испостави Житиште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(у даљем тексту: Национална служба).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Висина субвенције</w:t>
      </w:r>
      <w:r w:rsidR="00F87442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износи </w:t>
      </w:r>
      <w:r w:rsidR="00D153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442" w:rsidRPr="00F669E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5326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.000,00 динара по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ново 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>запосленом лицу.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011" w:rsidRPr="00F669E4" w:rsidRDefault="006619E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у којој се запошљав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ају лица, мора бити регистрован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најмање три месеца пре датума подношења захтева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906" w:rsidRPr="00197906" w:rsidRDefault="00197906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Послодавац који подноси захтев за субвенцију мора бити регистрован на територији општине Житиште, или да има регистровану пословну једницу</w:t>
      </w:r>
      <w:r w:rsidR="00661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Житиште</w:t>
      </w:r>
      <w:r w:rsidR="00557FBA">
        <w:rPr>
          <w:rFonts w:ascii="Times New Roman" w:hAnsi="Times New Roman" w:cs="Times New Roman"/>
          <w:sz w:val="24"/>
          <w:szCs w:val="24"/>
          <w:lang w:val="sr-Cyrl-RS"/>
        </w:rPr>
        <w:t xml:space="preserve"> без обзира на делатност којом се 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који је остварио право на субвенцију за отварање нових радних места дужан је да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закључи уговор о раду са незапосленим лицем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на неодређено време, са пуним радним временом, у трајању од најмање </w:t>
      </w:r>
      <w:r w:rsidR="00F87442" w:rsidRPr="00F669E4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месеци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од дана заснивања радног односа и да измирује обавезе по основу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доприноса за обавезно социјално осигурање, у складу са законом.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Право на субвенцију за отварање нових радних места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могу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остварити: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државни органи, организације и други директни и индиректни корисници буџетск</w:t>
      </w:r>
      <w:r w:rsidR="00172A2C" w:rsidRPr="00F669E4">
        <w:rPr>
          <w:rFonts w:ascii="Times New Roman" w:hAnsi="Times New Roman" w:cs="Times New Roman"/>
          <w:sz w:val="24"/>
          <w:szCs w:val="24"/>
          <w:lang w:val="ru-RU"/>
        </w:rPr>
        <w:t>их средстава и удружења грађана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подносиоци захтева који су користили субвенцију по јавном позиву за иста лица у току претходн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3 годин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рачунајући од дана одобравања средстава;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послодавци који нису успешно пословали 12 месеци након правоснажног решења о усвајању плана реорганизације и обустављању стечајног поступка или након куповине привредног субјекта над којим је правоснажним решењем окончан стечајни поступак. </w:t>
      </w:r>
    </w:p>
    <w:p w:rsidR="006619E1" w:rsidRPr="00F669E4" w:rsidRDefault="006619E1" w:rsidP="006619E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 коме се не одобри субвенција за отварање нових радних места не може поново поднети захтев по овом Јавном позиву.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доделу субвенције за отварање нових радних места представља основ за доделу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државне помоћи.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B56C4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Јавни позив је отворен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>до утрошка средстава предвиђених за ову намену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 дана објављивања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сајту Општине Житиште и огласној та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бли Националне службе испостава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Житиште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ПОДНОШЕЊЕ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339CE" w:rsidRPr="00F669E4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Право на доделу субвенције за отварање нових радних места послодавац може остварити под условом: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запошљава лица са евиденције Националне службе 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који се води на евиденц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ији у испостави Житиште</w:t>
      </w:r>
      <w:r w:rsidR="00243C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поднесе захтев са бизнис планом;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одржи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7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уредно измирује обавезе по основу доприноса за обавезно социјално осигурање за запослене, за последња три месеца која претходе месецу у коме је поднет захтев; </w:t>
      </w:r>
    </w:p>
    <w:p w:rsidR="00DE0011" w:rsidRPr="006C0DAE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послује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DAE" w:rsidRPr="00F669E4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да је измирио раније уговорне обавезе и измирио потраживања према Националној служби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, осим за обавезе чија је реализација у току;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 подносиоцем захтева;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на прописаном обрасцу;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фотокопија решења надл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>ежног органа о упису у регистар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0A0" w:rsidRPr="00F669E4" w:rsidRDefault="009F60A0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уверење Националне службе за незапослено 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>лице које се запошљава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0C55" w:rsidRPr="00F669E4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пријае поднете у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F669E4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DE0011" w:rsidRPr="00F669E4" w:rsidRDefault="00EF0F93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је подносилац захтева предузетник који нема запослене и паушално измирује обавезе, доставља Уверење Пореске управе о измиреним обевезама на име доприноса за обавезно социјално осигурање до месеца који претходи подношењу захтева;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писана изјава подносиоца захтева о свим другим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државним помоћима које је добио у претходном трогодишњем фискалном периоду или изјава подносиоца захтева да није користио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државну помоћ; </w:t>
      </w:r>
    </w:p>
    <w:p w:rsidR="006F56BD" w:rsidRPr="00CF3624" w:rsidRDefault="006F56BD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2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624">
        <w:rPr>
          <w:rFonts w:ascii="Times New Roman" w:hAnsi="Times New Roman" w:cs="Times New Roman"/>
          <w:sz w:val="24"/>
          <w:szCs w:val="24"/>
          <w:lang w:val="ru-RU"/>
        </w:rPr>
        <w:t>уколико је дошло до смањења броја запослених услед природног одлива и других оправданих разлога, потребно је доставити одговарајући доказ</w:t>
      </w:r>
      <w:r w:rsidR="00FE5C30" w:rsidRPr="00FE5C30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 право да тражи и друге доказе релевантне за одлучивање о захтеву подносиоца.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Начин подношења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бизнис планом подноси се у два примерка,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писарници Општинске управе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непосредно или путем поште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адресу Оштина Житиште, Лолални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СУБВЕНИЦИЈЕ ПОСЛОДАВЦИМА“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, на прописаном обрас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цу који се може добити у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организационој јединици Национ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лне службе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у Житишту,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>или са сајта Општине Житиште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zitiste</w:t>
        </w:r>
        <w:proofErr w:type="spellEnd"/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2C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ДОНОШЕЊЕ ОДЛУКЕ</w:t>
      </w: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Одлука о додели субвенције за отварање нових радних места доноси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се на основу провере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поднетог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Провера поднетих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Локални савет за запошљавање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A16FF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не испуњавају услове предвиђене Јавним позивом неће се даље разматрати.</w:t>
      </w: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A2C" w:rsidRP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2A2C">
        <w:rPr>
          <w:rFonts w:ascii="Times New Roman" w:hAnsi="Times New Roman" w:cs="Times New Roman"/>
          <w:b/>
          <w:sz w:val="24"/>
          <w:szCs w:val="24"/>
          <w:lang w:val="sr-Cyrl-RS"/>
        </w:rPr>
        <w:t>Бодавње поднетих захтева са бизнис планом</w:t>
      </w:r>
    </w:p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32"/>
        <w:gridCol w:w="1633"/>
        <w:gridCol w:w="3266"/>
      </w:tblGrid>
      <w:tr w:rsidR="00550A6E" w:rsidRPr="00FE5C30" w:rsidTr="00A61308">
        <w:tc>
          <w:tcPr>
            <w:tcW w:w="9796" w:type="dxa"/>
            <w:gridSpan w:val="4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БОДОВНА ЛИСТА ЗА ДОДЕЛУ СУБВЕНЦИЈЕ ЗА ОТВАРАЊЕ НОВИХ РАДНИХ МЕСТА НА ТЕРИТОРИЈИ ОПШТИНЕ ЖИТИШТЕ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50A6E" w:rsidTr="00A735EB">
        <w:tc>
          <w:tcPr>
            <w:tcW w:w="6530" w:type="dxa"/>
            <w:gridSpan w:val="3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КРИТЕРИЈУМИ</w:t>
            </w: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делатности послодавца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производно захатство и интелектуале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Услужно занатство, остале услужне делатности и грађевинарство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Хотели, ресторани и остале услуге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484481">
        <w:trPr>
          <w:trHeight w:val="12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 обављања делатности</w:t>
            </w: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</w:tcPr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једне до три године</w:t>
            </w:r>
          </w:p>
          <w:p w:rsidR="00550A6E" w:rsidRDefault="00550A6E" w:rsidP="00EB308B">
            <w:pPr>
              <w:widowControl w:val="0"/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50A6E" w:rsidTr="00374214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претходно коришћена средства по основу доделе субвенције за отврање радних места</w:t>
            </w:r>
          </w:p>
        </w:tc>
        <w:tc>
          <w:tcPr>
            <w:tcW w:w="1632" w:type="dxa"/>
            <w:vMerge w:val="restart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Процента запослених лица</w:t>
            </w: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од 51% запослених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Запослено до 50% лица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  <w:vAlign w:val="center"/>
          </w:tcPr>
          <w:p w:rsidR="00550A6E" w:rsidRDefault="00550A6E" w:rsidP="00550A6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Merge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било запослених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50A6E" w:rsidTr="00484481">
        <w:trPr>
          <w:trHeight w:val="483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2" w:type="dxa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 који није раније користио средства Општине Житиште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3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172A2C" w:rsidTr="00484481">
        <w:tc>
          <w:tcPr>
            <w:tcW w:w="3265" w:type="dxa"/>
            <w:vAlign w:val="center"/>
          </w:tcPr>
          <w:p w:rsidR="00172A2C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запослених за претходна 3 месеца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Пораст броја запослених из месеца у месц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172A2C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 w:val="restart"/>
            <w:vAlign w:val="center"/>
          </w:tcPr>
          <w:p w:rsidR="00550A6E" w:rsidRPr="008E64D2" w:rsidRDefault="00550A6E" w:rsidP="008E64D2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4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финансијски показатељи</w:t>
            </w: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био у блокади у последњих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0A6E" w:rsidTr="00484481">
        <w:trPr>
          <w:trHeight w:val="246"/>
        </w:trPr>
        <w:tc>
          <w:tcPr>
            <w:tcW w:w="3265" w:type="dxa"/>
            <w:vMerge/>
          </w:tcPr>
          <w:p w:rsidR="00550A6E" w:rsidRDefault="00550A6E" w:rsidP="00172A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Блокада рачуна трајала од 15 дана у последњних 6 месеци</w:t>
            </w:r>
          </w:p>
          <w:p w:rsidR="00484481" w:rsidRDefault="00484481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550A6E" w:rsidRDefault="00550A6E" w:rsidP="00484481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74214" w:rsidTr="00374214">
        <w:trPr>
          <w:trHeight w:val="246"/>
        </w:trPr>
        <w:tc>
          <w:tcPr>
            <w:tcW w:w="6530" w:type="dxa"/>
            <w:gridSpan w:val="3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МАКСИМАЛАН БРОЈ БОДОВА</w:t>
            </w:r>
          </w:p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6" w:type="dxa"/>
            <w:vAlign w:val="center"/>
          </w:tcPr>
          <w:p w:rsidR="00374214" w:rsidRPr="00374214" w:rsidRDefault="00374214" w:rsidP="00374214">
            <w:pPr>
              <w:widowControl w:val="0"/>
              <w:autoSpaceDE w:val="0"/>
              <w:autoSpaceDN w:val="0"/>
              <w:adjustRightInd w:val="0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742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</w:tbl>
    <w:p w:rsidR="00172A2C" w:rsidRDefault="00172A2C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214" w:rsidRPr="00374214" w:rsidRDefault="00374214" w:rsidP="00374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* Критеријум „Претходно коришћена средства по основу доделе субвенције за отварање нових радним места“ односи се </w:t>
      </w:r>
      <w:r w:rsidR="00B56C47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а доделу субвенције за отварање нових радних места п</w:t>
      </w:r>
      <w:r w:rsidR="006C0DAE">
        <w:rPr>
          <w:rFonts w:ascii="Times New Roman" w:hAnsi="Times New Roman" w:cs="Times New Roman"/>
          <w:bCs/>
          <w:sz w:val="24"/>
          <w:szCs w:val="24"/>
          <w:lang w:val="sr-Cyrl-RS"/>
        </w:rPr>
        <w:t>о јавним позивима из 2011 – 201</w:t>
      </w:r>
      <w:r w:rsidR="00D15326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.године које је организовала НСЗ и општина Житиште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 “Проценат запослених лица“ подразумева однос броја лица која су у периоду од 6 месеци након завршетка пеализације уговорне обевезе по основу доделе субвенције за отварање радних места засновала радни однос код истог или другог послодавца и броја лица која су била запослена по истом основу код подносиоца захтева. Наведени податци ће се проверити у информационом систему Националне службе.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>*** „Ликвидност привредног субјекта“ се проверава на сајту Народне банке Србије у делу „Претраживање дужника у принудној наплати.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421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постоји већи број захтева са истим бројем бодова, </w:t>
      </w:r>
      <w:r w:rsidR="00557FBA">
        <w:rPr>
          <w:rFonts w:ascii="Times New Roman" w:hAnsi="Times New Roman" w:cs="Times New Roman"/>
          <w:bCs/>
          <w:sz w:val="24"/>
          <w:szCs w:val="24"/>
          <w:lang w:val="sr-Cyrl-RS"/>
        </w:rPr>
        <w:t>Локални савет за запошљавање може доделити максимално још 10 бодова на основу сопственог критеријума.</w:t>
      </w:r>
    </w:p>
    <w:p w:rsidR="00374214" w:rsidRPr="00374214" w:rsidRDefault="00374214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Приоритети за доделу субвенције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Приоритет при додели субвенције има послодавац који запошљава лице из категорије теже запошљивих, и то: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7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дугорочно незапослена лица, односно лица која су незапослена дуже од 12 месеци 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незапослени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квалификација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нискоквалификовани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вишак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Роми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избегла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расељена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повратници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споразуму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реадмисији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старији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рурално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становништво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жртве породичног насиља и трговине људима и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308B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proofErr w:type="gram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Одлука о додели субвенције за отварање нових радних места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197906" w:rsidRDefault="00534087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Одлуку о додели субвенције послодавцима доноси Председник општине уз претходно мишљење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Локалног савета за запошљавање</w:t>
      </w:r>
      <w:r w:rsidR="00B96FFE">
        <w:rPr>
          <w:rFonts w:ascii="Times New Roman" w:hAnsi="Times New Roman" w:cs="Times New Roman"/>
          <w:sz w:val="24"/>
          <w:szCs w:val="24"/>
          <w:lang w:val="sr-Cyrl-RS"/>
        </w:rPr>
        <w:t xml:space="preserve"> и то на сваких 5</w:t>
      </w:r>
      <w:r w:rsidR="00197906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расписивања до утрошка средстава предвиђених за ову намену.</w:t>
      </w:r>
    </w:p>
    <w:p w:rsidR="00DE0011" w:rsidRPr="0008038C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Одлука о додели субвенције послодавцима за отварање нових радних места објављује се на 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>огласној табли</w:t>
      </w:r>
      <w:r w:rsidR="0008038C" w:rsidRPr="0008038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EB308B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ју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право да приликом одлуч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ивања по поднетом захтеву изврше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евентуално смањење предвиђеног броја лица из захтева са бизнис планом.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Захтеви који испуњавају услове Јавног позива, а нису обухваћени одлуком о додели субвенције за отварање нових радних места биће обавештени о коначном статусу њиховог захтева након истека јавног позива.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ЗАКЉУЧИВАЊЕ УГОВОРА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општине Житиште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и подносилац захтева, у року до 30 дана од дана доношења одлуке о одобравању субвенције,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закључују уговор којим се уређују међусобна права и</w:t>
      </w:r>
      <w:r w:rsidR="00DE0011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обавезе и на основу кога се врши исплата субвенције.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закључивање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DE0011" w:rsidP="003F15E0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доказ о заснивању радног односа на неодређено време за лица која се запошљавају (уговор о раду и пријава на обавезно социјално осигурање); </w:t>
      </w:r>
    </w:p>
    <w:p w:rsidR="00DE0011" w:rsidRPr="00F669E4" w:rsidRDefault="00DE0011" w:rsidP="00B30893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65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датум заснивања радног односа не сме да буде пре датума </w:t>
      </w:r>
      <w:r w:rsidR="005339CE" w:rsidRPr="00F669E4">
        <w:rPr>
          <w:rFonts w:ascii="Times New Roman" w:hAnsi="Times New Roman" w:cs="Times New Roman"/>
          <w:sz w:val="24"/>
          <w:szCs w:val="24"/>
          <w:lang w:val="ru-RU"/>
        </w:rPr>
        <w:t>доношења одлуке о додели средстава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2666BA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6BA" w:rsidRPr="002666BA" w:rsidRDefault="002666BA" w:rsidP="002666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BA" w:rsidRPr="00F669E4" w:rsidRDefault="002666BA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но лице);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numPr>
          <w:ilvl w:val="0"/>
          <w:numId w:val="10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картона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EB30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08038C" w:rsidRDefault="00DE0011" w:rsidP="0008038C">
      <w:pPr>
        <w:widowControl w:val="0"/>
        <w:numPr>
          <w:ilvl w:val="0"/>
          <w:numId w:val="10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01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писани пристанак корисника средстава и жиранта за прикупљање и обраду података о личности</w:t>
      </w:r>
      <w:r w:rsidR="002666BA">
        <w:rPr>
          <w:rFonts w:ascii="Times New Roman" w:hAnsi="Times New Roman" w:cs="Times New Roman"/>
          <w:sz w:val="24"/>
          <w:szCs w:val="24"/>
          <w:lang w:val="sr-Cyrl-RS"/>
        </w:rPr>
        <w:t>, фотокопија/очитана лична карта корисника средстава/жиранта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E0011" w:rsidRPr="0008038C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Средства обезбеђења</w:t>
      </w:r>
      <w:r w:rsidR="0008038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предузетника/правно лице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су следећа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0011" w:rsidRPr="0008038C" w:rsidRDefault="00DE0011" w:rsidP="00EB308B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08038C" w:rsidRDefault="00DE0011" w:rsidP="00EB308B">
      <w:pPr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0F93" w:rsidRPr="0008038C" w:rsidRDefault="00DE0011" w:rsidP="00EB308B">
      <w:pPr>
        <w:widowControl w:val="0"/>
        <w:numPr>
          <w:ilvl w:val="1"/>
          <w:numId w:val="1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38C"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67</w:t>
      </w:r>
      <w:r w:rsidR="00D829DD"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.000,00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динара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>једну истоветну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бланко </w:t>
      </w:r>
      <w:r w:rsidR="0008038C" w:rsidRPr="0008038C">
        <w:rPr>
          <w:rFonts w:ascii="Times New Roman" w:hAnsi="Times New Roman" w:cs="Times New Roman"/>
          <w:sz w:val="24"/>
          <w:szCs w:val="24"/>
          <w:lang w:val="sr-Cyrl-RS"/>
        </w:rPr>
        <w:t>трасирану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меницу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корисника средстава 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или жирант</w:t>
      </w:r>
    </w:p>
    <w:p w:rsidR="00230AEE" w:rsidRPr="0008038C" w:rsidRDefault="005A6FB2" w:rsidP="0008038C">
      <w:pPr>
        <w:widowControl w:val="0"/>
        <w:numPr>
          <w:ilvl w:val="1"/>
          <w:numId w:val="1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за одобрена средства у износу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38C"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67</w:t>
      </w:r>
      <w:r w:rsidR="00D829DD"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.00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,00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7442" w:rsidRPr="000803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D829DD" w:rsidRPr="0008038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12141" w:rsidRPr="0008038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08038C" w:rsidRPr="0008038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08038C">
        <w:rPr>
          <w:rFonts w:ascii="Times New Roman" w:hAnsi="Times New Roman" w:cs="Times New Roman"/>
          <w:b/>
          <w:sz w:val="24"/>
          <w:szCs w:val="24"/>
          <w:lang w:val="sr-Cyrl-RS"/>
        </w:rPr>
        <w:t>00.000,00</w:t>
      </w:r>
      <w:r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динара </w:t>
      </w:r>
      <w:r w:rsidRPr="0008038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две истоветне бланко </w:t>
      </w:r>
      <w:r w:rsidRPr="0008038C">
        <w:rPr>
          <w:rFonts w:ascii="Times New Roman" w:hAnsi="Times New Roman" w:cs="Times New Roman"/>
          <w:sz w:val="24"/>
          <w:szCs w:val="24"/>
          <w:lang w:val="sr-Cyrl-RS"/>
        </w:rPr>
        <w:t>трасиране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менице корисника средстава, </w:t>
      </w:r>
      <w:r w:rsidR="0008038C" w:rsidRPr="0008038C">
        <w:rPr>
          <w:rFonts w:ascii="Times New Roman" w:hAnsi="Times New Roman" w:cs="Times New Roman"/>
          <w:sz w:val="24"/>
          <w:szCs w:val="24"/>
          <w:lang w:val="sr-Cyrl-RS"/>
        </w:rPr>
        <w:t>меничне изјаве  и менично овлашћ</w:t>
      </w:r>
      <w:r w:rsidRPr="0008038C">
        <w:rPr>
          <w:rFonts w:ascii="Times New Roman" w:hAnsi="Times New Roman" w:cs="Times New Roman"/>
          <w:sz w:val="24"/>
          <w:szCs w:val="24"/>
          <w:lang w:val="sr-Cyrl-RS"/>
        </w:rPr>
        <w:t>ење;</w:t>
      </w:r>
      <w:r w:rsidR="0008038C"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 или г</w:t>
      </w:r>
      <w:r w:rsidR="00E12141" w:rsidRPr="0008038C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EF0F93" w:rsidRPr="0008038C">
        <w:rPr>
          <w:rFonts w:ascii="Times New Roman" w:hAnsi="Times New Roman" w:cs="Times New Roman"/>
          <w:sz w:val="24"/>
          <w:szCs w:val="24"/>
          <w:lang w:val="sr-Cyrl-RS"/>
        </w:rPr>
        <w:t>анација банке у вредности одобрених средстава са роком важењ</w:t>
      </w:r>
      <w:r w:rsidR="00230AEE"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а од </w:t>
      </w:r>
      <w:r w:rsidR="00F87442" w:rsidRPr="0008038C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230AEE"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од дана издавања или</w:t>
      </w:r>
      <w:r w:rsidR="0008038C"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038C" w:rsidRPr="0008038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230AEE" w:rsidRPr="0008038C">
        <w:rPr>
          <w:rFonts w:ascii="Times New Roman" w:hAnsi="Times New Roman" w:cs="Times New Roman"/>
          <w:sz w:val="24"/>
          <w:szCs w:val="24"/>
          <w:lang w:val="sr-Cyrl-RS"/>
        </w:rPr>
        <w:t>ипотека првог реда на непокретности двоструко веће од вредности износа субвенције 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D829DD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E0011" w:rsidRPr="00D829DD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08038C">
        <w:rPr>
          <w:rFonts w:ascii="Times New Roman" w:hAnsi="Times New Roman" w:cs="Times New Roman"/>
          <w:sz w:val="24"/>
          <w:szCs w:val="24"/>
          <w:lang w:val="ru-RU"/>
        </w:rPr>
        <w:t>Жирант</w:t>
      </w:r>
      <w:r w:rsidRPr="00D829D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 xml:space="preserve">може бити свако </w:t>
      </w:r>
      <w:r w:rsidR="00197906" w:rsidRPr="0008038C">
        <w:rPr>
          <w:rFonts w:ascii="Times New Roman" w:hAnsi="Times New Roman" w:cs="Times New Roman"/>
          <w:sz w:val="24"/>
          <w:szCs w:val="24"/>
          <w:lang w:val="ru-RU"/>
        </w:rPr>
        <w:t>пословно способно физичко лице</w:t>
      </w:r>
      <w:r w:rsidRPr="0008038C">
        <w:rPr>
          <w:rFonts w:ascii="Times New Roman" w:hAnsi="Times New Roman" w:cs="Times New Roman"/>
          <w:sz w:val="24"/>
          <w:szCs w:val="24"/>
          <w:lang w:val="ru-RU"/>
        </w:rPr>
        <w:t>, које има редовна месечна примања на име зараде или пензије, независно од висине примања, као и физичко лице које самостално обавља делатност (предузетник)</w:t>
      </w:r>
      <w:r w:rsidR="00EF0F93" w:rsidRPr="0008038C">
        <w:rPr>
          <w:rFonts w:ascii="Times New Roman" w:hAnsi="Times New Roman" w:cs="Times New Roman"/>
          <w:sz w:val="24"/>
          <w:szCs w:val="24"/>
          <w:lang w:val="sr-Cyrl-RS"/>
        </w:rPr>
        <w:t xml:space="preserve">, односо лице које самостално обавља делатности у складу са посебним законом (нпр. адвокат, нотар, приватни извршитењ и сл.) </w:t>
      </w:r>
      <w:r w:rsidRPr="00D829D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ОБАВЕЗЕ ИЗ УГОВОРА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- корисник субвенције </w:t>
      </w:r>
      <w:r w:rsidRPr="006C0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дужан је да: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6C0DAE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40" w:hanging="3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0DAE">
        <w:rPr>
          <w:rFonts w:ascii="Times New Roman" w:hAnsi="Times New Roman" w:cs="Times New Roman"/>
          <w:sz w:val="24"/>
          <w:szCs w:val="24"/>
          <w:lang w:val="sr-Cyrl-RS"/>
        </w:rPr>
        <w:t>- лица за која је остварио право на субвенцију задржи у радном односу на неодређено време, са пуним радним в</w:t>
      </w:r>
      <w:r w:rsidR="00EB308B"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ременом, у трајању од најмање </w:t>
      </w:r>
      <w:r w:rsidR="00F87442" w:rsidRPr="006C0DA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 xml:space="preserve"> месеца од дана заснивања радног односа; у случају престанка радног односа са лицем за које је оств</w:t>
      </w:r>
      <w:r w:rsidRPr="00EB308B">
        <w:rPr>
          <w:rFonts w:ascii="Times New Roman" w:hAnsi="Times New Roman" w:cs="Times New Roman"/>
          <w:sz w:val="24"/>
          <w:szCs w:val="24"/>
        </w:rPr>
        <w:t>a</w:t>
      </w:r>
      <w:r w:rsidRPr="006C0DAE">
        <w:rPr>
          <w:rFonts w:ascii="Times New Roman" w:hAnsi="Times New Roman" w:cs="Times New Roman"/>
          <w:sz w:val="24"/>
          <w:szCs w:val="24"/>
          <w:lang w:val="sr-Cyrl-RS"/>
        </w:rPr>
        <w:t>рено право, послодавац је у обавези да у року од 30 дана од дана престанка радног односа заснује радни однос на неодређено време са другим незапосленим и да то лице задржи у радном односу најмање до истека уговором предивиђеног рока увећаног за период</w:t>
      </w:r>
    </w:p>
    <w:p w:rsidR="00DE0011" w:rsidRPr="006C0DAE" w:rsidRDefault="00DE0011" w:rsidP="00EB308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A72FD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FD7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извршена замена; </w:t>
      </w:r>
    </w:p>
    <w:p w:rsidR="00DE0011" w:rsidRPr="00A72FD7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измирује обавезе по основу доприноса за обавезно социјално осигурање, у складу са законом;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54D0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85" w:lineRule="auto"/>
        <w:ind w:left="142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делатност у периоду реализације уговорне обавезе обавља на територији општине на којој је остварио право на субвенцију; </w:t>
      </w: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омогући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праћење реализације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достави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доказ</w:t>
      </w:r>
      <w:r w:rsidRPr="00EB308B">
        <w:rPr>
          <w:rFonts w:ascii="Times New Roman" w:hAnsi="Times New Roman" w:cs="Times New Roman"/>
          <w:sz w:val="24"/>
          <w:szCs w:val="24"/>
        </w:rPr>
        <w:t>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реализацији уговорне обавезе;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87" w:lineRule="auto"/>
        <w:ind w:left="540" w:hanging="3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обавести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Општину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 свим променама које су од значаја за реализацију уговора, у року од 8 дана од дана настанка промене.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- корисник субвенције који не испуни обавезе утврђене уговором, дужан је да </w:t>
      </w:r>
      <w:r w:rsidR="00EB308B" w:rsidRPr="00F669E4">
        <w:rPr>
          <w:rFonts w:ascii="Times New Roman" w:hAnsi="Times New Roman" w:cs="Times New Roman"/>
          <w:sz w:val="24"/>
          <w:szCs w:val="24"/>
          <w:lang w:val="ru-RU"/>
        </w:rPr>
        <w:t>и Општини Житиште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врати износ исплаћене субвенције, сразмерно проценту реализације уговорне обавезе, увећане за законску затезну камату од датума преноса средстава.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54D07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54D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ОСТАЛЕ ИНФОРМАЦИЈЕ</w:t>
      </w:r>
    </w:p>
    <w:p w:rsidR="00EB308B" w:rsidRPr="00E54D07" w:rsidRDefault="00EB308B" w:rsidP="00EB308B">
      <w:pPr>
        <w:widowControl w:val="0"/>
        <w:autoSpaceDE w:val="0"/>
        <w:autoSpaceDN w:val="0"/>
        <w:adjustRightInd w:val="0"/>
        <w:spacing w:after="0" w:line="240" w:lineRule="auto"/>
        <w:ind w:left="32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54D07" w:rsidRDefault="00EB308B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Информације о програму могу се добити у организационој јединицу Националне службе у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Житишту, на телефон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6F56BD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821-044</w:t>
      </w:r>
      <w:r w:rsidR="001979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 </w:t>
      </w:r>
      <w:r w:rsidRPr="00F669E4">
        <w:rPr>
          <w:rFonts w:ascii="Times New Roman" w:hAnsi="Times New Roman" w:cs="Times New Roman"/>
          <w:bCs/>
          <w:sz w:val="24"/>
          <w:szCs w:val="24"/>
          <w:lang w:val="ru-RU"/>
        </w:rPr>
        <w:t>на сајту Општине Житиште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на телефон: </w:t>
      </w:r>
      <w:r w:rsidR="006F56BD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2C0BE2" w:rsidRPr="00F669E4">
        <w:rPr>
          <w:rFonts w:ascii="Times New Roman" w:hAnsi="Times New Roman" w:cs="Times New Roman"/>
          <w:bCs/>
          <w:sz w:val="24"/>
          <w:szCs w:val="24"/>
          <w:lang w:val="ru-RU"/>
        </w:rPr>
        <w:t>821-306</w:t>
      </w:r>
    </w:p>
    <w:p w:rsidR="00DE0011" w:rsidRPr="00E54D07" w:rsidRDefault="003747AC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  <w:sectPr w:rsidR="00DE0011" w:rsidRPr="00E54D07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A28B55" wp14:editId="05C81905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8AB8A8"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8747FD3" wp14:editId="5858A588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D4199D"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BD3311D" wp14:editId="50101627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A4D67C9"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42EB03C" wp14:editId="5E2BAE02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408B5E"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</w:p>
    <w:p w:rsidR="00E54D07" w:rsidRDefault="00E54D07" w:rsidP="00E54D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038C" w:rsidRDefault="00E54D07" w:rsidP="000803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E12141" w:rsidRPr="00D15326" w:rsidRDefault="00D15326" w:rsidP="000803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II-101-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/2</w:t>
      </w:r>
      <w:r w:rsidR="0008038C">
        <w:rPr>
          <w:rFonts w:ascii="Times New Roman" w:hAnsi="Times New Roman" w:cs="Times New Roman"/>
          <w:sz w:val="24"/>
          <w:szCs w:val="24"/>
          <w:lang w:val="sr-Cyrl-RS"/>
        </w:rPr>
        <w:t>020-</w:t>
      </w:r>
      <w:r w:rsidR="00066E80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E54D07" w:rsidRPr="00D15326" w:rsidRDefault="000512D4" w:rsidP="000803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512D4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08038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8038C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D15326"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sectPr w:rsidR="00E54D07" w:rsidRPr="00D15326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12" w:rsidRDefault="002C2912" w:rsidP="00F514D2">
      <w:pPr>
        <w:spacing w:after="0" w:line="240" w:lineRule="auto"/>
      </w:pPr>
      <w:r>
        <w:separator/>
      </w:r>
    </w:p>
  </w:endnote>
  <w:endnote w:type="continuationSeparator" w:id="0">
    <w:p w:rsidR="002C2912" w:rsidRDefault="002C2912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12" w:rsidRDefault="002C2912" w:rsidP="00F514D2">
      <w:pPr>
        <w:spacing w:after="0" w:line="240" w:lineRule="auto"/>
      </w:pPr>
      <w:r>
        <w:separator/>
      </w:r>
    </w:p>
  </w:footnote>
  <w:footnote w:type="continuationSeparator" w:id="0">
    <w:p w:rsidR="002C2912" w:rsidRDefault="002C2912" w:rsidP="00F5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512D4"/>
    <w:rsid w:val="0005495C"/>
    <w:rsid w:val="00066E80"/>
    <w:rsid w:val="0008038C"/>
    <w:rsid w:val="000827D3"/>
    <w:rsid w:val="00122F1B"/>
    <w:rsid w:val="00162958"/>
    <w:rsid w:val="00172A2C"/>
    <w:rsid w:val="00197906"/>
    <w:rsid w:val="00230AEE"/>
    <w:rsid w:val="00243C4F"/>
    <w:rsid w:val="00261B81"/>
    <w:rsid w:val="002666BA"/>
    <w:rsid w:val="002C0BE2"/>
    <w:rsid w:val="002C2912"/>
    <w:rsid w:val="0033563B"/>
    <w:rsid w:val="00347AD8"/>
    <w:rsid w:val="00351E6E"/>
    <w:rsid w:val="00374214"/>
    <w:rsid w:val="003747AC"/>
    <w:rsid w:val="003B0DCE"/>
    <w:rsid w:val="003F15E0"/>
    <w:rsid w:val="00436F02"/>
    <w:rsid w:val="00484481"/>
    <w:rsid w:val="0048581A"/>
    <w:rsid w:val="005309AA"/>
    <w:rsid w:val="005339CE"/>
    <w:rsid w:val="00534087"/>
    <w:rsid w:val="00550A6E"/>
    <w:rsid w:val="00557FBA"/>
    <w:rsid w:val="005A6FB2"/>
    <w:rsid w:val="006619E1"/>
    <w:rsid w:val="006C0DAE"/>
    <w:rsid w:val="006F56BD"/>
    <w:rsid w:val="00820C55"/>
    <w:rsid w:val="008C79B5"/>
    <w:rsid w:val="008D7DC9"/>
    <w:rsid w:val="008E64D2"/>
    <w:rsid w:val="00962DA5"/>
    <w:rsid w:val="009F60A0"/>
    <w:rsid w:val="00A16FFA"/>
    <w:rsid w:val="00A25358"/>
    <w:rsid w:val="00A649C1"/>
    <w:rsid w:val="00A66C6B"/>
    <w:rsid w:val="00A72FD7"/>
    <w:rsid w:val="00AD2A60"/>
    <w:rsid w:val="00B30893"/>
    <w:rsid w:val="00B56C47"/>
    <w:rsid w:val="00B71125"/>
    <w:rsid w:val="00B86F52"/>
    <w:rsid w:val="00B96FFE"/>
    <w:rsid w:val="00BE42F3"/>
    <w:rsid w:val="00BE7E75"/>
    <w:rsid w:val="00BF64DA"/>
    <w:rsid w:val="00CA0BDF"/>
    <w:rsid w:val="00CF3624"/>
    <w:rsid w:val="00D0086F"/>
    <w:rsid w:val="00D11D6C"/>
    <w:rsid w:val="00D15326"/>
    <w:rsid w:val="00D22DD3"/>
    <w:rsid w:val="00D42CE9"/>
    <w:rsid w:val="00D765F8"/>
    <w:rsid w:val="00D829DD"/>
    <w:rsid w:val="00DC0A61"/>
    <w:rsid w:val="00DE0011"/>
    <w:rsid w:val="00DE451F"/>
    <w:rsid w:val="00E12141"/>
    <w:rsid w:val="00E54D07"/>
    <w:rsid w:val="00E709F8"/>
    <w:rsid w:val="00EB308B"/>
    <w:rsid w:val="00EC48EA"/>
    <w:rsid w:val="00EF0F93"/>
    <w:rsid w:val="00F514D2"/>
    <w:rsid w:val="00F669E4"/>
    <w:rsid w:val="00F87442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tist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B088-AA10-4C02-B9AE-FA8F20A7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2019-11-08T10:28:00Z</cp:lastPrinted>
  <dcterms:created xsi:type="dcterms:W3CDTF">2020-03-05T13:16:00Z</dcterms:created>
  <dcterms:modified xsi:type="dcterms:W3CDTF">2020-03-05T13:21:00Z</dcterms:modified>
</cp:coreProperties>
</file>